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95FE7" w:rsidRPr="00395FE7">
        <w:rPr>
          <w:b/>
          <w:i/>
          <w:noProof/>
          <w:sz w:val="28"/>
        </w:rPr>
        <w:t>S2-2107511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73B27">
            <w:pPr>
              <w:pStyle w:val="CRCoverPage"/>
              <w:spacing w:after="0"/>
              <w:jc w:val="right"/>
              <w:rPr>
                <w:b/>
                <w:noProof/>
                <w:sz w:val="28"/>
              </w:rPr>
            </w:pPr>
            <w:r>
              <w:rPr>
                <w:b/>
                <w:noProof/>
                <w:sz w:val="28"/>
              </w:rPr>
              <w:t>23.</w:t>
            </w:r>
            <w:r w:rsidR="00E73B2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5FE7" w:rsidP="00547111">
            <w:pPr>
              <w:pStyle w:val="CRCoverPage"/>
              <w:spacing w:after="0"/>
              <w:rPr>
                <w:noProof/>
              </w:rPr>
            </w:pPr>
            <w:r>
              <w:rPr>
                <w:b/>
                <w:noProof/>
                <w:sz w:val="28"/>
              </w:rPr>
              <w:t>3310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95FE7">
              <w:rPr>
                <w:b/>
                <w:noProof/>
                <w:sz w:val="28"/>
              </w:rPr>
              <w:fldChar w:fldCharType="begin"/>
            </w:r>
            <w:r w:rsidRPr="00395FE7">
              <w:rPr>
                <w:b/>
                <w:noProof/>
                <w:sz w:val="28"/>
              </w:rPr>
              <w:instrText xml:space="preserve"> DOCPROPERTY  Revision  \* MERGEFORMAT </w:instrText>
            </w:r>
            <w:r w:rsidRPr="00395FE7">
              <w:rPr>
                <w:b/>
                <w:noProof/>
                <w:sz w:val="28"/>
              </w:rPr>
              <w:fldChar w:fldCharType="separate"/>
            </w:r>
            <w:r w:rsidR="006D18D3" w:rsidRPr="00395FE7">
              <w:rPr>
                <w:b/>
                <w:noProof/>
                <w:sz w:val="28"/>
              </w:rPr>
              <w:t>-</w:t>
            </w:r>
            <w:r w:rsidRPr="00395FE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C1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7536EE" w:rsidRDefault="00F25D98" w:rsidP="001E41F3">
            <w:pPr>
              <w:pStyle w:val="CRCoverPage"/>
              <w:tabs>
                <w:tab w:val="right" w:pos="2751"/>
              </w:tabs>
              <w:spacing w:after="0"/>
              <w:rPr>
                <w:b/>
                <w:i/>
                <w:noProof/>
              </w:rPr>
            </w:pPr>
            <w:r w:rsidRPr="007536EE">
              <w:rPr>
                <w:b/>
                <w:i/>
                <w:noProof/>
              </w:rPr>
              <w:t>Proposed change</w:t>
            </w:r>
            <w:r w:rsidR="00A7671C" w:rsidRPr="007536EE">
              <w:rPr>
                <w:b/>
                <w:i/>
                <w:noProof/>
              </w:rPr>
              <w:t xml:space="preserve"> </w:t>
            </w:r>
            <w:r w:rsidRPr="007536EE">
              <w:rPr>
                <w:b/>
                <w:i/>
                <w:noProof/>
              </w:rPr>
              <w:t>affects:</w:t>
            </w:r>
          </w:p>
        </w:tc>
        <w:tc>
          <w:tcPr>
            <w:tcW w:w="1418" w:type="dxa"/>
          </w:tcPr>
          <w:p w:rsidR="00F25D98" w:rsidRPr="007536EE" w:rsidRDefault="00F25D98" w:rsidP="001E41F3">
            <w:pPr>
              <w:pStyle w:val="CRCoverPage"/>
              <w:spacing w:after="0"/>
              <w:jc w:val="right"/>
              <w:rPr>
                <w:noProof/>
              </w:rPr>
            </w:pPr>
            <w:r w:rsidRPr="007536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536EE" w:rsidRDefault="00F25D98" w:rsidP="001E41F3">
            <w:pPr>
              <w:pStyle w:val="CRCoverPage"/>
              <w:spacing w:after="0"/>
              <w:jc w:val="center"/>
              <w:rPr>
                <w:b/>
                <w:caps/>
                <w:noProof/>
              </w:rPr>
            </w:pPr>
          </w:p>
        </w:tc>
        <w:tc>
          <w:tcPr>
            <w:tcW w:w="709" w:type="dxa"/>
            <w:tcBorders>
              <w:left w:val="single" w:sz="4" w:space="0" w:color="auto"/>
            </w:tcBorders>
          </w:tcPr>
          <w:p w:rsidR="00F25D98" w:rsidRPr="007536EE" w:rsidRDefault="00F25D98" w:rsidP="001E41F3">
            <w:pPr>
              <w:pStyle w:val="CRCoverPage"/>
              <w:spacing w:after="0"/>
              <w:jc w:val="right"/>
              <w:rPr>
                <w:noProof/>
                <w:u w:val="single"/>
              </w:rPr>
            </w:pPr>
            <w:r w:rsidRPr="007536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536EE" w:rsidRDefault="00AF1A6F" w:rsidP="001E41F3">
            <w:pPr>
              <w:pStyle w:val="CRCoverPage"/>
              <w:spacing w:after="0"/>
              <w:jc w:val="center"/>
              <w:rPr>
                <w:b/>
                <w:caps/>
                <w:noProof/>
              </w:rPr>
            </w:pPr>
            <w:r w:rsidRPr="007536EE">
              <w:rPr>
                <w:b/>
                <w:caps/>
                <w:noProof/>
              </w:rPr>
              <w:t>X</w:t>
            </w:r>
          </w:p>
        </w:tc>
        <w:tc>
          <w:tcPr>
            <w:tcW w:w="2126" w:type="dxa"/>
          </w:tcPr>
          <w:p w:rsidR="00F25D98" w:rsidRPr="007536EE" w:rsidRDefault="00F25D98" w:rsidP="001E41F3">
            <w:pPr>
              <w:pStyle w:val="CRCoverPage"/>
              <w:spacing w:after="0"/>
              <w:jc w:val="right"/>
              <w:rPr>
                <w:noProof/>
                <w:u w:val="single"/>
              </w:rPr>
            </w:pPr>
            <w:r w:rsidRPr="007536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536EE" w:rsidRDefault="00F25D98" w:rsidP="001E41F3">
            <w:pPr>
              <w:pStyle w:val="CRCoverPage"/>
              <w:spacing w:after="0"/>
              <w:jc w:val="center"/>
              <w:rPr>
                <w:b/>
                <w:caps/>
                <w:noProof/>
              </w:rPr>
            </w:pPr>
          </w:p>
        </w:tc>
        <w:tc>
          <w:tcPr>
            <w:tcW w:w="1418" w:type="dxa"/>
            <w:tcBorders>
              <w:left w:val="nil"/>
            </w:tcBorders>
          </w:tcPr>
          <w:p w:rsidR="00F25D98" w:rsidRPr="007536EE" w:rsidRDefault="00F25D98" w:rsidP="001E41F3">
            <w:pPr>
              <w:pStyle w:val="CRCoverPage"/>
              <w:spacing w:after="0"/>
              <w:jc w:val="right"/>
              <w:rPr>
                <w:noProof/>
              </w:rPr>
            </w:pPr>
            <w:r w:rsidRPr="007536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36E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334C12" w:rsidRDefault="001E41F3">
            <w:pPr>
              <w:pStyle w:val="CRCoverPage"/>
              <w:tabs>
                <w:tab w:val="right" w:pos="1759"/>
              </w:tabs>
              <w:spacing w:after="0"/>
              <w:rPr>
                <w:b/>
                <w:i/>
                <w:noProof/>
              </w:rPr>
            </w:pPr>
            <w:r w:rsidRPr="00334C12">
              <w:rPr>
                <w:b/>
                <w:i/>
                <w:noProof/>
              </w:rPr>
              <w:t>Title:</w:t>
            </w:r>
            <w:r w:rsidRPr="00334C12">
              <w:rPr>
                <w:b/>
                <w:i/>
                <w:noProof/>
              </w:rPr>
              <w:tab/>
            </w:r>
          </w:p>
        </w:tc>
        <w:tc>
          <w:tcPr>
            <w:tcW w:w="7797" w:type="dxa"/>
            <w:gridSpan w:val="10"/>
            <w:tcBorders>
              <w:top w:val="single" w:sz="4" w:space="0" w:color="auto"/>
              <w:right w:val="single" w:sz="4" w:space="0" w:color="auto"/>
            </w:tcBorders>
            <w:shd w:val="pct30" w:color="FFFF00" w:fill="auto"/>
          </w:tcPr>
          <w:p w:rsidR="001E41F3" w:rsidRPr="00334C12" w:rsidRDefault="00E73B27">
            <w:pPr>
              <w:pStyle w:val="CRCoverPage"/>
              <w:spacing w:after="0"/>
              <w:ind w:left="100"/>
              <w:rPr>
                <w:noProof/>
              </w:rPr>
            </w:pPr>
            <w:r w:rsidRPr="00334C12">
              <w:rPr>
                <w:color w:val="000000"/>
              </w:rPr>
              <w:t xml:space="preserve">Correction on </w:t>
            </w:r>
            <w:bookmarkStart w:id="1" w:name="OLE_LINK1"/>
            <w:r w:rsidRPr="00334C12">
              <w:rPr>
                <w:color w:val="000000"/>
              </w:rPr>
              <w:t>user plane integrity protection for UE not supporting NR as primary RAT and supporting E-UTRA</w:t>
            </w:r>
            <w:bookmarkEnd w:id="1"/>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7797" w:type="dxa"/>
            <w:gridSpan w:val="10"/>
            <w:tcBorders>
              <w:right w:val="single" w:sz="4" w:space="0" w:color="auto"/>
            </w:tcBorders>
          </w:tcPr>
          <w:p w:rsidR="001E41F3" w:rsidRPr="00334C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Source to WG:</w:t>
            </w:r>
          </w:p>
        </w:tc>
        <w:tc>
          <w:tcPr>
            <w:tcW w:w="7797" w:type="dxa"/>
            <w:gridSpan w:val="10"/>
            <w:tcBorders>
              <w:right w:val="single" w:sz="4" w:space="0" w:color="auto"/>
            </w:tcBorders>
            <w:shd w:val="pct30" w:color="FFFF00" w:fill="auto"/>
          </w:tcPr>
          <w:p w:rsidR="001E41F3" w:rsidRPr="00334C12" w:rsidRDefault="00B51DB3">
            <w:pPr>
              <w:pStyle w:val="CRCoverPage"/>
              <w:spacing w:after="0"/>
              <w:ind w:left="100"/>
              <w:rPr>
                <w:noProof/>
              </w:rPr>
            </w:pPr>
            <w:r w:rsidRPr="00334C12">
              <w:rPr>
                <w:noProof/>
              </w:rPr>
              <w:fldChar w:fldCharType="begin"/>
            </w:r>
            <w:r w:rsidRPr="00334C12">
              <w:rPr>
                <w:noProof/>
              </w:rPr>
              <w:instrText xml:space="preserve"> DOCPROPERTY  SourceIfWg  \* MERGEFORMAT </w:instrText>
            </w:r>
            <w:r w:rsidRPr="00334C12">
              <w:rPr>
                <w:noProof/>
              </w:rPr>
              <w:fldChar w:fldCharType="separate"/>
            </w:r>
            <w:r w:rsidR="00514818" w:rsidRPr="00334C12">
              <w:rPr>
                <w:noProof/>
              </w:rPr>
              <w:t>Huawei, HiSilicon</w:t>
            </w:r>
            <w:r w:rsidRPr="00334C12">
              <w:rPr>
                <w:noProof/>
              </w:rPr>
              <w:fldChar w:fldCharType="end"/>
            </w: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Source to TSG:</w:t>
            </w:r>
          </w:p>
        </w:tc>
        <w:tc>
          <w:tcPr>
            <w:tcW w:w="7797" w:type="dxa"/>
            <w:gridSpan w:val="10"/>
            <w:tcBorders>
              <w:right w:val="single" w:sz="4" w:space="0" w:color="auto"/>
            </w:tcBorders>
            <w:shd w:val="pct30" w:color="FFFF00" w:fill="auto"/>
          </w:tcPr>
          <w:p w:rsidR="001E41F3" w:rsidRPr="00334C12" w:rsidRDefault="00B51DB3" w:rsidP="00547111">
            <w:pPr>
              <w:pStyle w:val="CRCoverPage"/>
              <w:spacing w:after="0"/>
              <w:ind w:left="100"/>
              <w:rPr>
                <w:noProof/>
              </w:rPr>
            </w:pPr>
            <w:r w:rsidRPr="00334C12">
              <w:rPr>
                <w:noProof/>
              </w:rPr>
              <w:fldChar w:fldCharType="begin"/>
            </w:r>
            <w:r w:rsidRPr="00334C12">
              <w:rPr>
                <w:noProof/>
              </w:rPr>
              <w:instrText xml:space="preserve"> DOCPROPERTY  SourceIfTsg  \* MERGEFORMAT </w:instrText>
            </w:r>
            <w:r w:rsidRPr="00334C12">
              <w:rPr>
                <w:noProof/>
              </w:rPr>
              <w:fldChar w:fldCharType="separate"/>
            </w:r>
            <w:r w:rsidR="00514818" w:rsidRPr="00334C12">
              <w:rPr>
                <w:noProof/>
              </w:rPr>
              <w:t>SA2</w:t>
            </w:r>
            <w:r w:rsidRPr="00334C12">
              <w:rPr>
                <w:noProof/>
              </w:rPr>
              <w:fldChar w:fldCharType="end"/>
            </w:r>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7797" w:type="dxa"/>
            <w:gridSpan w:val="10"/>
            <w:tcBorders>
              <w:right w:val="single" w:sz="4" w:space="0" w:color="auto"/>
            </w:tcBorders>
          </w:tcPr>
          <w:p w:rsidR="001E41F3" w:rsidRPr="00334C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Work item code</w:t>
            </w:r>
            <w:r w:rsidR="0051580D" w:rsidRPr="00334C12">
              <w:rPr>
                <w:b/>
                <w:i/>
                <w:noProof/>
              </w:rPr>
              <w:t>:</w:t>
            </w:r>
          </w:p>
        </w:tc>
        <w:tc>
          <w:tcPr>
            <w:tcW w:w="3686" w:type="dxa"/>
            <w:gridSpan w:val="5"/>
            <w:shd w:val="pct30" w:color="FFFF00" w:fill="auto"/>
          </w:tcPr>
          <w:p w:rsidR="001E41F3" w:rsidRPr="00334C12" w:rsidRDefault="00334C12">
            <w:pPr>
              <w:pStyle w:val="CRCoverPage"/>
              <w:spacing w:after="0"/>
              <w:ind w:left="100"/>
              <w:rPr>
                <w:noProof/>
              </w:rPr>
            </w:pPr>
            <w:r w:rsidRPr="00334C12">
              <w:rPr>
                <w:color w:val="000000"/>
              </w:rPr>
              <w:t>5GProtoc17</w:t>
            </w:r>
          </w:p>
        </w:tc>
        <w:tc>
          <w:tcPr>
            <w:tcW w:w="567" w:type="dxa"/>
            <w:tcBorders>
              <w:left w:val="nil"/>
            </w:tcBorders>
          </w:tcPr>
          <w:p w:rsidR="001E41F3" w:rsidRPr="00334C12" w:rsidRDefault="001E41F3">
            <w:pPr>
              <w:pStyle w:val="CRCoverPage"/>
              <w:spacing w:after="0"/>
              <w:ind w:right="100"/>
              <w:rPr>
                <w:noProof/>
              </w:rPr>
            </w:pPr>
          </w:p>
        </w:tc>
        <w:tc>
          <w:tcPr>
            <w:tcW w:w="1417" w:type="dxa"/>
            <w:gridSpan w:val="3"/>
            <w:tcBorders>
              <w:left w:val="nil"/>
            </w:tcBorders>
          </w:tcPr>
          <w:p w:rsidR="001E41F3" w:rsidRPr="00334C12" w:rsidRDefault="001E41F3">
            <w:pPr>
              <w:pStyle w:val="CRCoverPage"/>
              <w:spacing w:after="0"/>
              <w:jc w:val="right"/>
              <w:rPr>
                <w:noProof/>
              </w:rPr>
            </w:pPr>
            <w:r w:rsidRPr="00334C12">
              <w:rPr>
                <w:b/>
                <w:i/>
                <w:noProof/>
              </w:rPr>
              <w:t>Date:</w:t>
            </w:r>
          </w:p>
        </w:tc>
        <w:tc>
          <w:tcPr>
            <w:tcW w:w="2127" w:type="dxa"/>
            <w:tcBorders>
              <w:right w:val="single" w:sz="4" w:space="0" w:color="auto"/>
            </w:tcBorders>
            <w:shd w:val="pct30" w:color="FFFF00" w:fill="auto"/>
          </w:tcPr>
          <w:p w:rsidR="001E41F3" w:rsidRPr="00334C12" w:rsidRDefault="00D23592" w:rsidP="000E2AF1">
            <w:pPr>
              <w:pStyle w:val="CRCoverPage"/>
              <w:spacing w:after="0"/>
              <w:ind w:left="100"/>
              <w:rPr>
                <w:noProof/>
              </w:rPr>
            </w:pPr>
            <w:r w:rsidRPr="00334C12">
              <w:rPr>
                <w:noProof/>
              </w:rPr>
              <w:t>2021-</w:t>
            </w:r>
            <w:r w:rsidR="000E2AF1" w:rsidRPr="00334C12">
              <w:rPr>
                <w:noProof/>
              </w:rPr>
              <w:t>10</w:t>
            </w:r>
            <w:r w:rsidRPr="00334C12">
              <w:rPr>
                <w:noProof/>
              </w:rPr>
              <w:t>-</w:t>
            </w:r>
            <w:r w:rsidR="000E2AF1" w:rsidRPr="00334C12">
              <w:rPr>
                <w:noProof/>
              </w:rPr>
              <w:t>11</w:t>
            </w:r>
          </w:p>
        </w:tc>
      </w:tr>
      <w:tr w:rsidR="001E41F3" w:rsidTr="00547111">
        <w:tc>
          <w:tcPr>
            <w:tcW w:w="1843" w:type="dxa"/>
            <w:tcBorders>
              <w:left w:val="single" w:sz="4" w:space="0" w:color="auto"/>
            </w:tcBorders>
          </w:tcPr>
          <w:p w:rsidR="001E41F3" w:rsidRPr="00334C12" w:rsidRDefault="001E41F3">
            <w:pPr>
              <w:pStyle w:val="CRCoverPage"/>
              <w:spacing w:after="0"/>
              <w:rPr>
                <w:b/>
                <w:i/>
                <w:noProof/>
                <w:sz w:val="8"/>
                <w:szCs w:val="8"/>
              </w:rPr>
            </w:pPr>
          </w:p>
        </w:tc>
        <w:tc>
          <w:tcPr>
            <w:tcW w:w="1986" w:type="dxa"/>
            <w:gridSpan w:val="4"/>
          </w:tcPr>
          <w:p w:rsidR="001E41F3" w:rsidRPr="00334C12" w:rsidRDefault="001E41F3">
            <w:pPr>
              <w:pStyle w:val="CRCoverPage"/>
              <w:spacing w:after="0"/>
              <w:rPr>
                <w:noProof/>
                <w:sz w:val="8"/>
                <w:szCs w:val="8"/>
              </w:rPr>
            </w:pPr>
          </w:p>
        </w:tc>
        <w:tc>
          <w:tcPr>
            <w:tcW w:w="2267" w:type="dxa"/>
            <w:gridSpan w:val="2"/>
          </w:tcPr>
          <w:p w:rsidR="001E41F3" w:rsidRPr="00334C12" w:rsidRDefault="001E41F3">
            <w:pPr>
              <w:pStyle w:val="CRCoverPage"/>
              <w:spacing w:after="0"/>
              <w:rPr>
                <w:noProof/>
                <w:sz w:val="8"/>
                <w:szCs w:val="8"/>
              </w:rPr>
            </w:pPr>
          </w:p>
        </w:tc>
        <w:tc>
          <w:tcPr>
            <w:tcW w:w="1417" w:type="dxa"/>
            <w:gridSpan w:val="3"/>
          </w:tcPr>
          <w:p w:rsidR="001E41F3" w:rsidRPr="00334C12" w:rsidRDefault="001E41F3">
            <w:pPr>
              <w:pStyle w:val="CRCoverPage"/>
              <w:spacing w:after="0"/>
              <w:rPr>
                <w:noProof/>
                <w:sz w:val="8"/>
                <w:szCs w:val="8"/>
              </w:rPr>
            </w:pPr>
          </w:p>
        </w:tc>
        <w:tc>
          <w:tcPr>
            <w:tcW w:w="2127" w:type="dxa"/>
            <w:tcBorders>
              <w:right w:val="single" w:sz="4" w:space="0" w:color="auto"/>
            </w:tcBorders>
          </w:tcPr>
          <w:p w:rsidR="001E41F3" w:rsidRPr="00334C1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34C12" w:rsidRDefault="001E41F3">
            <w:pPr>
              <w:pStyle w:val="CRCoverPage"/>
              <w:tabs>
                <w:tab w:val="right" w:pos="1759"/>
              </w:tabs>
              <w:spacing w:after="0"/>
              <w:rPr>
                <w:b/>
                <w:i/>
                <w:noProof/>
              </w:rPr>
            </w:pPr>
            <w:r w:rsidRPr="00334C12">
              <w:rPr>
                <w:b/>
                <w:i/>
                <w:noProof/>
              </w:rPr>
              <w:t>Category:</w:t>
            </w:r>
          </w:p>
        </w:tc>
        <w:tc>
          <w:tcPr>
            <w:tcW w:w="851" w:type="dxa"/>
            <w:shd w:val="pct30" w:color="FFFF00" w:fill="auto"/>
          </w:tcPr>
          <w:p w:rsidR="001E41F3" w:rsidRPr="00334C12" w:rsidRDefault="00E73B27" w:rsidP="00D24991">
            <w:pPr>
              <w:pStyle w:val="CRCoverPage"/>
              <w:spacing w:after="0"/>
              <w:ind w:left="100" w:right="-609"/>
              <w:rPr>
                <w:b/>
                <w:noProof/>
              </w:rPr>
            </w:pPr>
            <w:r w:rsidRPr="00334C12">
              <w:rPr>
                <w:b/>
                <w:noProof/>
              </w:rPr>
              <w:t>F</w:t>
            </w:r>
          </w:p>
        </w:tc>
        <w:tc>
          <w:tcPr>
            <w:tcW w:w="3402" w:type="dxa"/>
            <w:gridSpan w:val="5"/>
            <w:tcBorders>
              <w:left w:val="nil"/>
            </w:tcBorders>
          </w:tcPr>
          <w:p w:rsidR="001E41F3" w:rsidRPr="00334C12" w:rsidRDefault="001E41F3">
            <w:pPr>
              <w:pStyle w:val="CRCoverPage"/>
              <w:spacing w:after="0"/>
              <w:rPr>
                <w:noProof/>
              </w:rPr>
            </w:pPr>
          </w:p>
        </w:tc>
        <w:tc>
          <w:tcPr>
            <w:tcW w:w="1417" w:type="dxa"/>
            <w:gridSpan w:val="3"/>
            <w:tcBorders>
              <w:left w:val="nil"/>
            </w:tcBorders>
          </w:tcPr>
          <w:p w:rsidR="001E41F3" w:rsidRPr="00334C12" w:rsidRDefault="001E41F3">
            <w:pPr>
              <w:pStyle w:val="CRCoverPage"/>
              <w:spacing w:after="0"/>
              <w:jc w:val="right"/>
              <w:rPr>
                <w:b/>
                <w:i/>
                <w:noProof/>
              </w:rPr>
            </w:pPr>
            <w:r w:rsidRPr="00334C12">
              <w:rPr>
                <w:b/>
                <w:i/>
                <w:noProof/>
              </w:rPr>
              <w:t>Release:</w:t>
            </w:r>
          </w:p>
        </w:tc>
        <w:tc>
          <w:tcPr>
            <w:tcW w:w="2127" w:type="dxa"/>
            <w:tcBorders>
              <w:right w:val="single" w:sz="4" w:space="0" w:color="auto"/>
            </w:tcBorders>
            <w:shd w:val="pct30" w:color="FFFF00" w:fill="auto"/>
          </w:tcPr>
          <w:p w:rsidR="001E41F3" w:rsidRPr="00334C12" w:rsidRDefault="009B162C">
            <w:pPr>
              <w:pStyle w:val="CRCoverPage"/>
              <w:spacing w:after="0"/>
              <w:ind w:left="100"/>
              <w:rPr>
                <w:noProof/>
              </w:rPr>
            </w:pPr>
            <w:r w:rsidRPr="00334C12">
              <w:rPr>
                <w:noProof/>
              </w:rPr>
              <w:t>Rel-17</w:t>
            </w:r>
          </w:p>
        </w:tc>
      </w:tr>
      <w:tr w:rsidR="001E41F3" w:rsidTr="00547111">
        <w:tc>
          <w:tcPr>
            <w:tcW w:w="1843" w:type="dxa"/>
            <w:tcBorders>
              <w:left w:val="single" w:sz="4" w:space="0" w:color="auto"/>
              <w:bottom w:val="single" w:sz="4" w:space="0" w:color="auto"/>
            </w:tcBorders>
          </w:tcPr>
          <w:p w:rsidR="001E41F3" w:rsidRPr="00334C12" w:rsidRDefault="001E41F3">
            <w:pPr>
              <w:pStyle w:val="CRCoverPage"/>
              <w:spacing w:after="0"/>
              <w:rPr>
                <w:b/>
                <w:i/>
                <w:noProof/>
              </w:rPr>
            </w:pPr>
          </w:p>
        </w:tc>
        <w:tc>
          <w:tcPr>
            <w:tcW w:w="4677" w:type="dxa"/>
            <w:gridSpan w:val="8"/>
            <w:tcBorders>
              <w:bottom w:val="single" w:sz="4" w:space="0" w:color="auto"/>
            </w:tcBorders>
          </w:tcPr>
          <w:p w:rsidR="001E41F3" w:rsidRPr="00334C12" w:rsidRDefault="001E41F3">
            <w:pPr>
              <w:pStyle w:val="CRCoverPage"/>
              <w:spacing w:after="0"/>
              <w:ind w:left="383" w:hanging="383"/>
              <w:rPr>
                <w:i/>
                <w:noProof/>
                <w:sz w:val="18"/>
              </w:rPr>
            </w:pPr>
            <w:r w:rsidRPr="00334C12">
              <w:rPr>
                <w:i/>
                <w:noProof/>
                <w:sz w:val="18"/>
              </w:rPr>
              <w:t xml:space="preserve">Use </w:t>
            </w:r>
            <w:r w:rsidRPr="00334C12">
              <w:rPr>
                <w:i/>
                <w:noProof/>
                <w:sz w:val="18"/>
                <w:u w:val="single"/>
              </w:rPr>
              <w:t>one</w:t>
            </w:r>
            <w:r w:rsidRPr="00334C12">
              <w:rPr>
                <w:i/>
                <w:noProof/>
                <w:sz w:val="18"/>
              </w:rPr>
              <w:t xml:space="preserve"> of the following categories:</w:t>
            </w:r>
            <w:r w:rsidRPr="00334C12">
              <w:rPr>
                <w:b/>
                <w:i/>
                <w:noProof/>
                <w:sz w:val="18"/>
              </w:rPr>
              <w:br/>
              <w:t>F</w:t>
            </w:r>
            <w:r w:rsidRPr="00334C12">
              <w:rPr>
                <w:i/>
                <w:noProof/>
                <w:sz w:val="18"/>
              </w:rPr>
              <w:t xml:space="preserve">  (correction)</w:t>
            </w:r>
            <w:r w:rsidRPr="00334C12">
              <w:rPr>
                <w:i/>
                <w:noProof/>
                <w:sz w:val="18"/>
              </w:rPr>
              <w:br/>
            </w:r>
            <w:r w:rsidRPr="00334C12">
              <w:rPr>
                <w:b/>
                <w:i/>
                <w:noProof/>
                <w:sz w:val="18"/>
              </w:rPr>
              <w:t>A</w:t>
            </w:r>
            <w:r w:rsidRPr="00334C12">
              <w:rPr>
                <w:i/>
                <w:noProof/>
                <w:sz w:val="18"/>
              </w:rPr>
              <w:t xml:space="preserve">  (</w:t>
            </w:r>
            <w:r w:rsidR="00DE34CF" w:rsidRPr="00334C12">
              <w:rPr>
                <w:i/>
                <w:noProof/>
                <w:sz w:val="18"/>
              </w:rPr>
              <w:t xml:space="preserve">mirror </w:t>
            </w:r>
            <w:r w:rsidRPr="00334C12">
              <w:rPr>
                <w:i/>
                <w:noProof/>
                <w:sz w:val="18"/>
              </w:rPr>
              <w:t>correspond</w:t>
            </w:r>
            <w:r w:rsidR="00DE34CF" w:rsidRPr="00334C12">
              <w:rPr>
                <w:i/>
                <w:noProof/>
                <w:sz w:val="18"/>
              </w:rPr>
              <w:t xml:space="preserve">ing </w:t>
            </w:r>
            <w:r w:rsidRPr="00334C12">
              <w:rPr>
                <w:i/>
                <w:noProof/>
                <w:sz w:val="18"/>
              </w:rPr>
              <w:t xml:space="preserve">to a </w:t>
            </w:r>
            <w:r w:rsidR="00DE34CF" w:rsidRPr="00334C12">
              <w:rPr>
                <w:i/>
                <w:noProof/>
                <w:sz w:val="18"/>
              </w:rPr>
              <w:t xml:space="preserve">change </w:t>
            </w:r>
            <w:r w:rsidRPr="00334C12">
              <w:rPr>
                <w:i/>
                <w:noProof/>
                <w:sz w:val="18"/>
              </w:rPr>
              <w:t>in an earlier release)</w:t>
            </w:r>
            <w:r w:rsidRPr="00334C12">
              <w:rPr>
                <w:i/>
                <w:noProof/>
                <w:sz w:val="18"/>
              </w:rPr>
              <w:br/>
            </w:r>
            <w:r w:rsidRPr="00334C12">
              <w:rPr>
                <w:b/>
                <w:i/>
                <w:noProof/>
                <w:sz w:val="18"/>
              </w:rPr>
              <w:t>B</w:t>
            </w:r>
            <w:r w:rsidRPr="00334C12">
              <w:rPr>
                <w:i/>
                <w:noProof/>
                <w:sz w:val="18"/>
              </w:rPr>
              <w:t xml:space="preserve">  (addition of feature), </w:t>
            </w:r>
            <w:r w:rsidRPr="00334C12">
              <w:rPr>
                <w:i/>
                <w:noProof/>
                <w:sz w:val="18"/>
              </w:rPr>
              <w:br/>
            </w:r>
            <w:r w:rsidRPr="00334C12">
              <w:rPr>
                <w:b/>
                <w:i/>
                <w:noProof/>
                <w:sz w:val="18"/>
              </w:rPr>
              <w:t>C</w:t>
            </w:r>
            <w:r w:rsidRPr="00334C12">
              <w:rPr>
                <w:i/>
                <w:noProof/>
                <w:sz w:val="18"/>
              </w:rPr>
              <w:t xml:space="preserve">  (functional modification of feature)</w:t>
            </w:r>
            <w:r w:rsidRPr="00334C12">
              <w:rPr>
                <w:i/>
                <w:noProof/>
                <w:sz w:val="18"/>
              </w:rPr>
              <w:br/>
            </w:r>
            <w:r w:rsidRPr="00334C12">
              <w:rPr>
                <w:b/>
                <w:i/>
                <w:noProof/>
                <w:sz w:val="18"/>
              </w:rPr>
              <w:t>D</w:t>
            </w:r>
            <w:r w:rsidRPr="00334C12">
              <w:rPr>
                <w:i/>
                <w:noProof/>
                <w:sz w:val="18"/>
              </w:rPr>
              <w:t xml:space="preserve">  (editorial modification)</w:t>
            </w:r>
          </w:p>
          <w:p w:rsidR="001E41F3" w:rsidRPr="00334C12" w:rsidRDefault="001E41F3">
            <w:pPr>
              <w:pStyle w:val="CRCoverPage"/>
              <w:rPr>
                <w:noProof/>
              </w:rPr>
            </w:pPr>
            <w:r w:rsidRPr="00334C12">
              <w:rPr>
                <w:noProof/>
                <w:sz w:val="18"/>
              </w:rPr>
              <w:t>Detailed explanations of the above categories can</w:t>
            </w:r>
            <w:r w:rsidRPr="00334C12">
              <w:rPr>
                <w:noProof/>
                <w:sz w:val="18"/>
              </w:rPr>
              <w:br/>
              <w:t xml:space="preserve">be found in 3GPP </w:t>
            </w:r>
            <w:hyperlink r:id="rId10" w:history="1">
              <w:r w:rsidRPr="00334C12">
                <w:rPr>
                  <w:rStyle w:val="aa"/>
                  <w:noProof/>
                  <w:sz w:val="18"/>
                </w:rPr>
                <w:t>TR 21.900</w:t>
              </w:r>
            </w:hyperlink>
            <w:r w:rsidRPr="00334C12">
              <w:rPr>
                <w:noProof/>
                <w:sz w:val="18"/>
              </w:rPr>
              <w:t>.</w:t>
            </w:r>
          </w:p>
        </w:tc>
        <w:tc>
          <w:tcPr>
            <w:tcW w:w="3120" w:type="dxa"/>
            <w:gridSpan w:val="2"/>
            <w:tcBorders>
              <w:bottom w:val="single" w:sz="4" w:space="0" w:color="auto"/>
              <w:right w:val="single" w:sz="4" w:space="0" w:color="auto"/>
            </w:tcBorders>
          </w:tcPr>
          <w:p w:rsidR="000C038A" w:rsidRPr="00334C12" w:rsidRDefault="001E41F3" w:rsidP="00BD6BB8">
            <w:pPr>
              <w:pStyle w:val="CRCoverPage"/>
              <w:tabs>
                <w:tab w:val="left" w:pos="950"/>
              </w:tabs>
              <w:spacing w:after="0"/>
              <w:ind w:left="241" w:hanging="241"/>
              <w:rPr>
                <w:i/>
                <w:noProof/>
                <w:sz w:val="18"/>
              </w:rPr>
            </w:pPr>
            <w:r w:rsidRPr="00334C12">
              <w:rPr>
                <w:i/>
                <w:noProof/>
                <w:sz w:val="18"/>
              </w:rPr>
              <w:t xml:space="preserve">Use </w:t>
            </w:r>
            <w:r w:rsidRPr="00334C12">
              <w:rPr>
                <w:i/>
                <w:noProof/>
                <w:sz w:val="18"/>
                <w:u w:val="single"/>
              </w:rPr>
              <w:t>one</w:t>
            </w:r>
            <w:r w:rsidRPr="00334C12">
              <w:rPr>
                <w:i/>
                <w:noProof/>
                <w:sz w:val="18"/>
              </w:rPr>
              <w:t xml:space="preserve"> of the following releases:</w:t>
            </w:r>
            <w:r w:rsidRPr="00334C12">
              <w:rPr>
                <w:i/>
                <w:noProof/>
                <w:sz w:val="18"/>
              </w:rPr>
              <w:br/>
            </w:r>
            <w:r w:rsidR="00706BCA" w:rsidRPr="00334C12">
              <w:rPr>
                <w:i/>
                <w:noProof/>
                <w:sz w:val="18"/>
              </w:rPr>
              <w:t>Rel-8</w:t>
            </w:r>
            <w:r w:rsidR="00706BCA" w:rsidRPr="00334C12">
              <w:rPr>
                <w:i/>
                <w:noProof/>
                <w:sz w:val="18"/>
              </w:rPr>
              <w:tab/>
              <w:t>(Release 8)</w:t>
            </w:r>
            <w:r w:rsidR="00706BCA" w:rsidRPr="00334C12">
              <w:rPr>
                <w:i/>
                <w:noProof/>
                <w:sz w:val="18"/>
              </w:rPr>
              <w:br/>
              <w:t>Rel-9</w:t>
            </w:r>
            <w:r w:rsidR="00706BCA" w:rsidRPr="00334C12">
              <w:rPr>
                <w:i/>
                <w:noProof/>
                <w:sz w:val="18"/>
              </w:rPr>
              <w:tab/>
              <w:t>(Release 9)</w:t>
            </w:r>
            <w:r w:rsidR="00706BCA" w:rsidRPr="00334C12">
              <w:rPr>
                <w:i/>
                <w:noProof/>
                <w:sz w:val="18"/>
              </w:rPr>
              <w:br/>
              <w:t>Rel-10</w:t>
            </w:r>
            <w:r w:rsidR="00706BCA" w:rsidRPr="00334C12">
              <w:rPr>
                <w:i/>
                <w:noProof/>
                <w:sz w:val="18"/>
              </w:rPr>
              <w:tab/>
              <w:t>(Release 10)</w:t>
            </w:r>
            <w:r w:rsidR="00706BCA" w:rsidRPr="00334C12">
              <w:rPr>
                <w:i/>
                <w:noProof/>
                <w:sz w:val="18"/>
              </w:rPr>
              <w:br/>
              <w:t>Rel-11</w:t>
            </w:r>
            <w:r w:rsidR="00706BCA" w:rsidRPr="00334C12">
              <w:rPr>
                <w:i/>
                <w:noProof/>
                <w:sz w:val="18"/>
              </w:rPr>
              <w:tab/>
              <w:t>(Release 11)</w:t>
            </w:r>
            <w:r w:rsidR="00706BCA" w:rsidRPr="00334C12">
              <w:rPr>
                <w:i/>
                <w:noProof/>
                <w:sz w:val="18"/>
              </w:rPr>
              <w:br/>
              <w:t>…</w:t>
            </w:r>
            <w:r w:rsidR="00706BCA" w:rsidRPr="00334C12">
              <w:rPr>
                <w:i/>
                <w:noProof/>
                <w:sz w:val="18"/>
              </w:rPr>
              <w:br/>
              <w:t>Rel-15</w:t>
            </w:r>
            <w:r w:rsidR="00706BCA" w:rsidRPr="00334C12">
              <w:rPr>
                <w:i/>
                <w:noProof/>
                <w:sz w:val="18"/>
              </w:rPr>
              <w:tab/>
              <w:t>(Release 15)</w:t>
            </w:r>
            <w:r w:rsidR="00706BCA" w:rsidRPr="00334C12">
              <w:rPr>
                <w:i/>
                <w:noProof/>
                <w:sz w:val="18"/>
              </w:rPr>
              <w:br/>
              <w:t>Rel-16</w:t>
            </w:r>
            <w:r w:rsidR="00706BCA" w:rsidRPr="00334C12">
              <w:rPr>
                <w:i/>
                <w:noProof/>
                <w:sz w:val="18"/>
              </w:rPr>
              <w:tab/>
              <w:t>(Release 16)</w:t>
            </w:r>
            <w:r w:rsidR="00706BCA" w:rsidRPr="00334C12">
              <w:rPr>
                <w:i/>
                <w:noProof/>
                <w:sz w:val="18"/>
              </w:rPr>
              <w:br/>
              <w:t>Rel-17</w:t>
            </w:r>
            <w:r w:rsidR="00706BCA" w:rsidRPr="00334C12">
              <w:rPr>
                <w:i/>
                <w:noProof/>
                <w:sz w:val="18"/>
              </w:rPr>
              <w:tab/>
              <w:t>(Release 17)</w:t>
            </w:r>
            <w:r w:rsidR="00706BCA" w:rsidRPr="00334C12">
              <w:rPr>
                <w:i/>
                <w:noProof/>
                <w:sz w:val="18"/>
              </w:rPr>
              <w:br/>
              <w:t>Rel-18</w:t>
            </w:r>
            <w:r w:rsidR="00706BCA" w:rsidRPr="00334C12">
              <w:rPr>
                <w:i/>
                <w:noProof/>
                <w:sz w:val="18"/>
              </w:rPr>
              <w:tab/>
              <w:t>(Release 18)</w:t>
            </w:r>
          </w:p>
        </w:tc>
      </w:tr>
      <w:tr w:rsidR="001E41F3" w:rsidTr="00547111">
        <w:tc>
          <w:tcPr>
            <w:tcW w:w="1843" w:type="dxa"/>
          </w:tcPr>
          <w:p w:rsidR="001E41F3" w:rsidRPr="00334C12" w:rsidRDefault="001E41F3">
            <w:pPr>
              <w:pStyle w:val="CRCoverPage"/>
              <w:spacing w:after="0"/>
              <w:rPr>
                <w:b/>
                <w:i/>
                <w:noProof/>
                <w:sz w:val="8"/>
                <w:szCs w:val="8"/>
              </w:rPr>
            </w:pPr>
          </w:p>
        </w:tc>
        <w:tc>
          <w:tcPr>
            <w:tcW w:w="7797" w:type="dxa"/>
            <w:gridSpan w:val="10"/>
          </w:tcPr>
          <w:p w:rsidR="001E41F3" w:rsidRPr="00334C12" w:rsidRDefault="001E41F3">
            <w:pPr>
              <w:pStyle w:val="CRCoverPage"/>
              <w:spacing w:after="0"/>
              <w:rPr>
                <w:noProof/>
                <w:sz w:val="8"/>
                <w:szCs w:val="8"/>
              </w:rPr>
            </w:pPr>
          </w:p>
        </w:tc>
      </w:tr>
      <w:tr w:rsidR="001E41F3" w:rsidRPr="00E73B27" w:rsidTr="00547111">
        <w:tc>
          <w:tcPr>
            <w:tcW w:w="2694" w:type="dxa"/>
            <w:gridSpan w:val="2"/>
            <w:tcBorders>
              <w:top w:val="single" w:sz="4" w:space="0" w:color="auto"/>
              <w:left w:val="single" w:sz="4" w:space="0" w:color="auto"/>
            </w:tcBorders>
          </w:tcPr>
          <w:p w:rsidR="001E41F3" w:rsidRPr="00334C12" w:rsidRDefault="001E41F3">
            <w:pPr>
              <w:pStyle w:val="CRCoverPage"/>
              <w:tabs>
                <w:tab w:val="right" w:pos="2184"/>
              </w:tabs>
              <w:spacing w:after="0"/>
              <w:rPr>
                <w:b/>
                <w:i/>
                <w:noProof/>
              </w:rPr>
            </w:pPr>
            <w:r w:rsidRPr="00334C12">
              <w:rPr>
                <w:b/>
                <w:i/>
                <w:noProof/>
              </w:rPr>
              <w:t>Reason for change:</w:t>
            </w:r>
          </w:p>
        </w:tc>
        <w:tc>
          <w:tcPr>
            <w:tcW w:w="6946" w:type="dxa"/>
            <w:gridSpan w:val="9"/>
            <w:tcBorders>
              <w:top w:val="single" w:sz="4" w:space="0" w:color="auto"/>
              <w:right w:val="single" w:sz="4" w:space="0" w:color="auto"/>
            </w:tcBorders>
            <w:shd w:val="pct30" w:color="FFFF00" w:fill="auto"/>
          </w:tcPr>
          <w:p w:rsidR="00E73B27" w:rsidRPr="00334C12" w:rsidRDefault="00E73B27" w:rsidP="00E73B27">
            <w:pPr>
              <w:pStyle w:val="CRCoverPage"/>
              <w:spacing w:after="0"/>
              <w:ind w:left="100"/>
              <w:rPr>
                <w:noProof/>
                <w:lang w:eastAsia="zh-CN"/>
              </w:rPr>
            </w:pPr>
            <w:r w:rsidRPr="00334C12">
              <w:rPr>
                <w:noProof/>
              </w:rPr>
              <w:t>As indicated by C1-214952, SA3 has concluded that the UE shall support the use of integrity protection with the ng-eNB over the Uu interface if it supports E-UTRA connected to 5GC</w:t>
            </w:r>
            <w:r w:rsidR="0051773A">
              <w:rPr>
                <w:noProof/>
              </w:rPr>
              <w:t xml:space="preserve"> and shall indicate its capability to 5GC</w:t>
            </w:r>
            <w:r w:rsidRPr="00334C12">
              <w:rPr>
                <w:noProof/>
              </w:rPr>
              <w:t xml:space="preserve">. </w:t>
            </w:r>
            <w:r w:rsidRPr="00334C12">
              <w:rPr>
                <w:rFonts w:hint="eastAsia"/>
                <w:noProof/>
                <w:lang w:eastAsia="zh-CN"/>
              </w:rPr>
              <w:t>S</w:t>
            </w:r>
            <w:r w:rsidRPr="00334C12">
              <w:rPr>
                <w:noProof/>
                <w:lang w:eastAsia="zh-CN"/>
              </w:rPr>
              <w:t>o, it is incorrect to say “</w:t>
            </w:r>
            <w:r w:rsidRPr="00334C12">
              <w:t>A UE not supporting NR as primary RAT and supporting E-UTRA, shall set the Integrity protection maximum data rate IE for Uplink and Downlink to NULL at PDU Session Establishment as defined in TS 24.501 [47]</w:t>
            </w:r>
            <w:r w:rsidRPr="00334C12">
              <w:rPr>
                <w:noProof/>
                <w:lang w:eastAsia="zh-CN"/>
              </w:rPr>
              <w:t>”</w:t>
            </w:r>
          </w:p>
          <w:p w:rsidR="00E73B27" w:rsidRPr="00334C12" w:rsidRDefault="00E73B27" w:rsidP="00E73B27">
            <w:pPr>
              <w:pStyle w:val="CRCoverPage"/>
              <w:spacing w:after="0"/>
              <w:ind w:left="100"/>
              <w:rPr>
                <w:noProof/>
                <w:lang w:eastAsia="zh-CN"/>
              </w:rPr>
            </w:pPr>
            <w:r w:rsidRPr="00334C12">
              <w:rPr>
                <w:noProof/>
                <w:lang w:eastAsia="zh-CN"/>
              </w:rPr>
              <w:t>Besides, there is no need to re-introduce rate limitation for UPIP (e.g. 64 kbps) in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73B27">
            <w:pPr>
              <w:pStyle w:val="CRCoverPage"/>
              <w:spacing w:after="0"/>
              <w:ind w:left="100"/>
              <w:rPr>
                <w:noProof/>
                <w:highlight w:val="green"/>
              </w:rPr>
            </w:pPr>
            <w:r>
              <w:t>A UE not supporting NR as primary RAT and supporting E-UTRA, shall set the Integrity protection maximum data rate IE for Uplink and Downlink to FULL at PDU Session Establishment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73B27" w:rsidP="00B661A1">
            <w:pPr>
              <w:pStyle w:val="CRCoverPage"/>
              <w:spacing w:after="0"/>
              <w:ind w:left="100"/>
              <w:rPr>
                <w:noProof/>
                <w:highlight w:val="green"/>
              </w:rPr>
            </w:pPr>
            <w:r w:rsidRPr="00E73B27">
              <w:rPr>
                <w:noProof/>
              </w:rPr>
              <w:t>Not aligned with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C12">
            <w:pPr>
              <w:pStyle w:val="CRCoverPage"/>
              <w:spacing w:after="0"/>
              <w:ind w:left="100"/>
              <w:rPr>
                <w:noProof/>
              </w:rPr>
            </w:pPr>
            <w:r>
              <w:rPr>
                <w:noProof/>
              </w:rPr>
              <w:t xml:space="preserve">5.4.4b, </w:t>
            </w:r>
            <w:r w:rsidR="00E73B27">
              <w:rPr>
                <w:noProof/>
              </w:rPr>
              <w:t>5.10.3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tabs>
                <w:tab w:val="right" w:pos="2893"/>
              </w:tabs>
              <w:spacing w:after="0"/>
              <w:rPr>
                <w:noProof/>
              </w:rPr>
            </w:pPr>
            <w:r w:rsidRPr="00334C12">
              <w:rPr>
                <w:noProof/>
              </w:rPr>
              <w:t xml:space="preserve"> Other core specifications</w:t>
            </w:r>
            <w:r w:rsidRPr="00334C12">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spacing w:after="0"/>
              <w:rPr>
                <w:noProof/>
              </w:rPr>
            </w:pPr>
            <w:r w:rsidRPr="00334C12">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34C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34C12" w:rsidRDefault="00AF1A6F">
            <w:pPr>
              <w:pStyle w:val="CRCoverPage"/>
              <w:spacing w:after="0"/>
              <w:jc w:val="center"/>
              <w:rPr>
                <w:b/>
                <w:caps/>
                <w:noProof/>
              </w:rPr>
            </w:pPr>
            <w:r w:rsidRPr="00334C12">
              <w:rPr>
                <w:b/>
                <w:caps/>
                <w:noProof/>
              </w:rPr>
              <w:t>X</w:t>
            </w:r>
          </w:p>
        </w:tc>
        <w:tc>
          <w:tcPr>
            <w:tcW w:w="2977" w:type="dxa"/>
            <w:gridSpan w:val="4"/>
          </w:tcPr>
          <w:p w:rsidR="001E41F3" w:rsidRPr="00334C12" w:rsidRDefault="001E41F3">
            <w:pPr>
              <w:pStyle w:val="CRCoverPage"/>
              <w:spacing w:after="0"/>
              <w:rPr>
                <w:noProof/>
              </w:rPr>
            </w:pPr>
            <w:r w:rsidRPr="00334C1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34C12" w:rsidRDefault="00334C12" w:rsidP="00334C12">
      <w:pPr>
        <w:pStyle w:val="3"/>
        <w:rPr>
          <w:lang w:eastAsia="zh-CN"/>
        </w:rPr>
      </w:pPr>
      <w:bookmarkStart w:id="3" w:name="_Toc75440676"/>
      <w:bookmarkStart w:id="4" w:name="_Toc51769273"/>
      <w:bookmarkStart w:id="5" w:name="_Toc47342572"/>
      <w:bookmarkStart w:id="6" w:name="_Toc45183730"/>
      <w:bookmarkStart w:id="7" w:name="_Toc36187826"/>
      <w:bookmarkStart w:id="8" w:name="_Toc27846695"/>
      <w:bookmarkStart w:id="9" w:name="_Toc20149896"/>
      <w:bookmarkEnd w:id="2"/>
      <w:r>
        <w:rPr>
          <w:lang w:eastAsia="zh-CN"/>
        </w:rPr>
        <w:t>5.4.4b</w:t>
      </w:r>
      <w:r>
        <w:rPr>
          <w:lang w:eastAsia="zh-CN"/>
        </w:rPr>
        <w:tab/>
        <w:t>UE 5GSM Core Network Capability handling</w:t>
      </w:r>
    </w:p>
    <w:p w:rsidR="00334C12" w:rsidRDefault="00334C12" w:rsidP="00334C12">
      <w:pPr>
        <w:rPr>
          <w:lang w:eastAsia="zh-CN"/>
        </w:rPr>
      </w:pPr>
      <w:r>
        <w:rPr>
          <w:lang w:eastAsia="zh-CN"/>
        </w:rPr>
        <w:t>The UE 5GSM Core Network Capability is included in PDU Session Establishment/Modification Request.</w:t>
      </w:r>
    </w:p>
    <w:p w:rsidR="00334C12" w:rsidRDefault="00334C12" w:rsidP="00334C12">
      <w:pPr>
        <w:rPr>
          <w:lang w:eastAsia="zh-CN"/>
        </w:rPr>
      </w:pPr>
      <w:r>
        <w:rPr>
          <w:lang w:eastAsia="zh-CN"/>
        </w:rPr>
        <w:t>The UE shall indicate in the UE 5GSM Core Network Capability whether the UE supports:</w:t>
      </w:r>
    </w:p>
    <w:p w:rsidR="00334C12" w:rsidRDefault="00334C12" w:rsidP="00334C12">
      <w:pPr>
        <w:pStyle w:val="B1"/>
        <w:rPr>
          <w:lang w:eastAsia="zh-CN"/>
        </w:rPr>
      </w:pPr>
      <w:r>
        <w:rPr>
          <w:lang w:eastAsia="zh-CN"/>
        </w:rPr>
        <w:t>-</w:t>
      </w:r>
      <w:r>
        <w:rPr>
          <w:lang w:eastAsia="zh-CN"/>
        </w:rPr>
        <w:tab/>
        <w:t>"Ethernet" PDU Session Type supported in EPC as PDN Type "Ethernet";</w:t>
      </w:r>
    </w:p>
    <w:p w:rsidR="00334C12" w:rsidRDefault="00334C12" w:rsidP="00334C12">
      <w:pPr>
        <w:pStyle w:val="B1"/>
        <w:rPr>
          <w:lang w:eastAsia="zh-CN"/>
        </w:rPr>
      </w:pPr>
      <w:r>
        <w:rPr>
          <w:lang w:eastAsia="zh-CN"/>
        </w:rPr>
        <w:t>-</w:t>
      </w:r>
      <w:r>
        <w:rPr>
          <w:lang w:eastAsia="zh-CN"/>
        </w:rPr>
        <w:tab/>
        <w:t xml:space="preserve">Reflective </w:t>
      </w:r>
      <w:proofErr w:type="spellStart"/>
      <w:r>
        <w:rPr>
          <w:lang w:eastAsia="zh-CN"/>
        </w:rPr>
        <w:t>QoS</w:t>
      </w:r>
      <w:proofErr w:type="spellEnd"/>
      <w:r>
        <w:rPr>
          <w:lang w:eastAsia="zh-CN"/>
        </w:rPr>
        <w:t>;</w:t>
      </w:r>
    </w:p>
    <w:p w:rsidR="00334C12" w:rsidRDefault="00334C12" w:rsidP="00334C12">
      <w:pPr>
        <w:pStyle w:val="B1"/>
        <w:rPr>
          <w:lang w:eastAsia="zh-CN"/>
        </w:rPr>
      </w:pPr>
      <w:r>
        <w:rPr>
          <w:lang w:eastAsia="zh-CN"/>
        </w:rPr>
        <w:t>-</w:t>
      </w:r>
      <w:r>
        <w:rPr>
          <w:lang w:eastAsia="zh-CN"/>
        </w:rPr>
        <w:tab/>
        <w:t>Multi-homed IPv6 PDU Session (only if the Requested PDU Type was set to "IPv6" or "IPv4v6");</w:t>
      </w:r>
    </w:p>
    <w:p w:rsidR="00334C12" w:rsidRDefault="00334C12" w:rsidP="00334C12">
      <w:pPr>
        <w:pStyle w:val="B1"/>
        <w:rPr>
          <w:lang w:eastAsia="zh-CN"/>
        </w:rPr>
      </w:pPr>
      <w:r>
        <w:rPr>
          <w:lang w:eastAsia="zh-CN"/>
        </w:rPr>
        <w:t>-</w:t>
      </w:r>
      <w:r>
        <w:rPr>
          <w:lang w:eastAsia="zh-CN"/>
        </w:rPr>
        <w:tab/>
        <w:t>ATSSS capability (as referred to clause 5.32.2);</w:t>
      </w:r>
    </w:p>
    <w:p w:rsidR="00334C12" w:rsidRDefault="00334C12" w:rsidP="00334C12">
      <w:pPr>
        <w:pStyle w:val="B1"/>
        <w:rPr>
          <w:ins w:id="10" w:author="Huawei" w:date="2021-10-09T12:44:00Z"/>
          <w:lang w:eastAsia="zh-CN"/>
        </w:rPr>
      </w:pPr>
      <w:r>
        <w:rPr>
          <w:lang w:eastAsia="zh-CN"/>
        </w:rPr>
        <w:t>-</w:t>
      </w:r>
      <w:r>
        <w:rPr>
          <w:lang w:eastAsia="zh-CN"/>
        </w:rPr>
        <w:tab/>
        <w:t>Transfer of Port Management Information containers</w:t>
      </w:r>
      <w:ins w:id="11" w:author="Huawei" w:date="2021-10-09T12:44:00Z">
        <w:r>
          <w:rPr>
            <w:lang w:eastAsia="zh-CN"/>
          </w:rPr>
          <w:t>;</w:t>
        </w:r>
      </w:ins>
      <w:del w:id="12" w:author="Huawei" w:date="2021-10-09T12:44:00Z">
        <w:r w:rsidDel="00334C12">
          <w:rPr>
            <w:lang w:eastAsia="zh-CN"/>
          </w:rPr>
          <w:delText>.</w:delText>
        </w:r>
      </w:del>
    </w:p>
    <w:p w:rsidR="00334C12" w:rsidRDefault="00334C12" w:rsidP="00334C12">
      <w:pPr>
        <w:pStyle w:val="B1"/>
        <w:rPr>
          <w:lang w:eastAsia="zh-CN"/>
        </w:rPr>
      </w:pPr>
      <w:ins w:id="13" w:author="Huawei" w:date="2021-10-09T12:44:00Z">
        <w:r>
          <w:rPr>
            <w:lang w:eastAsia="zh-CN"/>
          </w:rPr>
          <w:t>-</w:t>
        </w:r>
        <w:r>
          <w:rPr>
            <w:lang w:eastAsia="zh-CN"/>
          </w:rPr>
          <w:tab/>
        </w:r>
        <w:r>
          <w:t>S</w:t>
        </w:r>
        <w:r w:rsidRPr="00334C12">
          <w:t>upport of integrity protection with the ng-</w:t>
        </w:r>
        <w:proofErr w:type="spellStart"/>
        <w:r w:rsidRPr="00334C12">
          <w:t>eNB</w:t>
        </w:r>
      </w:ins>
      <w:proofErr w:type="spellEnd"/>
      <w:ins w:id="14" w:author="Huawei" w:date="2021-10-19T23:49:00Z">
        <w:r w:rsidR="00233F87">
          <w:t xml:space="preserve"> </w:t>
        </w:r>
        <w:r w:rsidR="00233F87" w:rsidRPr="00233F87">
          <w:rPr>
            <w:highlight w:val="yellow"/>
            <w:rPrChange w:id="15" w:author="Huawei" w:date="2021-10-19T23:53:00Z">
              <w:rPr/>
            </w:rPrChange>
          </w:rPr>
          <w:t xml:space="preserve">(except for NB-IOT </w:t>
        </w:r>
      </w:ins>
      <w:ins w:id="16" w:author="Huawei" w:date="2021-10-19T23:52:00Z">
        <w:r w:rsidR="00233F87" w:rsidRPr="00233F87">
          <w:rPr>
            <w:highlight w:val="yellow"/>
            <w:rPrChange w:id="17" w:author="Huawei" w:date="2021-10-19T23:53:00Z">
              <w:rPr/>
            </w:rPrChange>
          </w:rPr>
          <w:t xml:space="preserve">UEs </w:t>
        </w:r>
      </w:ins>
      <w:ins w:id="18" w:author="Huawei" w:date="2021-10-19T23:49:00Z">
        <w:r w:rsidR="00233F87" w:rsidRPr="00233F87">
          <w:rPr>
            <w:highlight w:val="yellow"/>
            <w:rPrChange w:id="19" w:author="Huawei" w:date="2021-10-19T23:53:00Z">
              <w:rPr/>
            </w:rPrChange>
          </w:rPr>
          <w:t xml:space="preserve">and </w:t>
        </w:r>
      </w:ins>
      <w:ins w:id="20" w:author="Huawei" w:date="2021-10-19T23:53:00Z">
        <w:r w:rsidR="00233F87" w:rsidRPr="00233F87">
          <w:rPr>
            <w:highlight w:val="yellow"/>
            <w:rPrChange w:id="21" w:author="Huawei" w:date="2021-10-19T23:53:00Z">
              <w:rPr/>
            </w:rPrChange>
          </w:rPr>
          <w:t>Category M UEs</w:t>
        </w:r>
      </w:ins>
      <w:ins w:id="22" w:author="Huawei" w:date="2021-10-19T23:49:00Z">
        <w:r w:rsidR="00233F87" w:rsidRPr="00233F87">
          <w:rPr>
            <w:highlight w:val="yellow"/>
            <w:rPrChange w:id="23" w:author="Huawei" w:date="2021-10-19T23:53:00Z">
              <w:rPr/>
            </w:rPrChange>
          </w:rPr>
          <w:t>)</w:t>
        </w:r>
      </w:ins>
      <w:ins w:id="24" w:author="Huawei" w:date="2021-10-09T12:44:00Z">
        <w:r>
          <w:t>.</w:t>
        </w:r>
      </w:ins>
    </w:p>
    <w:p w:rsidR="00334C12" w:rsidRDefault="00334C12" w:rsidP="00334C12">
      <w:pPr>
        <w:rPr>
          <w:lang w:eastAsia="zh-CN"/>
        </w:rPr>
      </w:pPr>
      <w:r>
        <w:rPr>
          <w:lang w:eastAsia="zh-CN"/>
        </w:rPr>
        <w:t>The 5GSM Core Network Capability is transferred, if needed, from V-SMF to H-SMF during PDU Session Establishment/Modification procedure.</w:t>
      </w:r>
    </w:p>
    <w:p w:rsidR="00334C12" w:rsidRDefault="00334C12" w:rsidP="00334C12">
      <w:pPr>
        <w:rPr>
          <w:lang w:eastAsia="zh-CN"/>
        </w:rPr>
      </w:pPr>
      <w:r>
        <w:rPr>
          <w:lang w:eastAsia="zh-CN"/>
        </w:rPr>
        <w:t xml:space="preserve">After the first inter-system change from EPS to 5GS for a PDU session established in EPS, the 5GSM Core Network Capability is also included in the PDU Session Modification if the Reflective </w:t>
      </w:r>
      <w:proofErr w:type="spellStart"/>
      <w:r>
        <w:rPr>
          <w:lang w:eastAsia="zh-CN"/>
        </w:rPr>
        <w:t>QoS</w:t>
      </w:r>
      <w:proofErr w:type="spellEnd"/>
      <w:r>
        <w:rPr>
          <w:lang w:eastAsia="zh-CN"/>
        </w:rPr>
        <w:t xml:space="preserve"> and/or Multi-homed IPv6 PDU Session is present.</w:t>
      </w:r>
    </w:p>
    <w:bookmarkEnd w:id="3"/>
    <w:bookmarkEnd w:id="4"/>
    <w:bookmarkEnd w:id="5"/>
    <w:bookmarkEnd w:id="6"/>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34C12" w:rsidRDefault="00334C12" w:rsidP="00334C12">
      <w:pPr>
        <w:pStyle w:val="3"/>
      </w:pPr>
      <w:bookmarkStart w:id="25" w:name="_Toc83301812"/>
      <w:r>
        <w:t>5.10.3</w:t>
      </w:r>
      <w:r>
        <w:tab/>
        <w:t>PDU Session User Plane Security</w:t>
      </w:r>
      <w:bookmarkEnd w:id="25"/>
    </w:p>
    <w:p w:rsidR="00334C12" w:rsidRDefault="00334C12" w:rsidP="00334C12">
      <w:r>
        <w:t>The User Plane Security Enforcement information provides the NG-RAN with User Plane security policies for a PDU session. It indicates:</w:t>
      </w:r>
    </w:p>
    <w:p w:rsidR="00334C12" w:rsidRDefault="00334C12" w:rsidP="00334C12">
      <w:pPr>
        <w:pStyle w:val="B1"/>
      </w:pPr>
      <w:r>
        <w:t>-</w:t>
      </w:r>
      <w:r>
        <w:tab/>
      </w:r>
      <w:proofErr w:type="gramStart"/>
      <w:r>
        <w:t>whether</w:t>
      </w:r>
      <w:proofErr w:type="gramEnd"/>
      <w:r>
        <w:t xml:space="preserve"> UP integrity protection is:</w:t>
      </w:r>
    </w:p>
    <w:p w:rsidR="00334C12" w:rsidRDefault="00334C12" w:rsidP="00334C12">
      <w:pPr>
        <w:pStyle w:val="B2"/>
      </w:pPr>
      <w:r>
        <w:t>-</w:t>
      </w:r>
      <w:r>
        <w:tab/>
        <w:t>Required: for all the traffic on the PDU Session UP integrity protection shall apply.</w:t>
      </w:r>
    </w:p>
    <w:p w:rsidR="00334C12" w:rsidRDefault="00334C12" w:rsidP="00334C12">
      <w:pPr>
        <w:pStyle w:val="B2"/>
      </w:pPr>
      <w:r>
        <w:t>-</w:t>
      </w:r>
      <w:r>
        <w:tab/>
        <w:t>Preferred: for all the traffic on the PDU Session UP integrity protection should apply.</w:t>
      </w:r>
    </w:p>
    <w:p w:rsidR="00334C12" w:rsidRDefault="00334C12" w:rsidP="00334C12">
      <w:pPr>
        <w:pStyle w:val="B2"/>
      </w:pPr>
      <w:r>
        <w:t>-</w:t>
      </w:r>
      <w:r>
        <w:tab/>
        <w:t>Not Needed: UP integrity protection shall not apply on the PDU Session.</w:t>
      </w:r>
    </w:p>
    <w:p w:rsidR="00334C12" w:rsidRDefault="00334C12" w:rsidP="00334C12">
      <w:pPr>
        <w:pStyle w:val="B1"/>
      </w:pPr>
      <w:r>
        <w:t>-</w:t>
      </w:r>
      <w:r>
        <w:tab/>
      </w:r>
      <w:proofErr w:type="gramStart"/>
      <w:r>
        <w:t>whether</w:t>
      </w:r>
      <w:proofErr w:type="gramEnd"/>
      <w:r>
        <w:t xml:space="preserve"> UP confidentiality protection is:</w:t>
      </w:r>
    </w:p>
    <w:p w:rsidR="00334C12" w:rsidRDefault="00334C12" w:rsidP="00334C12">
      <w:pPr>
        <w:pStyle w:val="B2"/>
      </w:pPr>
      <w:r>
        <w:t>-</w:t>
      </w:r>
      <w:r>
        <w:tab/>
        <w:t>Required: for all the traffic on the PDU Session UP confidentiality protection shall apply.</w:t>
      </w:r>
    </w:p>
    <w:p w:rsidR="00334C12" w:rsidRDefault="00334C12" w:rsidP="00334C12">
      <w:pPr>
        <w:pStyle w:val="B2"/>
      </w:pPr>
      <w:r>
        <w:t>-</w:t>
      </w:r>
      <w:r>
        <w:tab/>
        <w:t>Preferred: for all the traffic on the PDU Session UP confidentiality protection should apply.</w:t>
      </w:r>
    </w:p>
    <w:p w:rsidR="00334C12" w:rsidRDefault="00334C12" w:rsidP="00334C12">
      <w:pPr>
        <w:pStyle w:val="B2"/>
      </w:pPr>
      <w:r>
        <w:t>-</w:t>
      </w:r>
      <w:r>
        <w:tab/>
        <w:t>Not Needed: UP confidentiality shall not apply on the PDU Session.</w:t>
      </w:r>
    </w:p>
    <w:p w:rsidR="00334C12" w:rsidRDefault="00334C12" w:rsidP="00334C12">
      <w:r>
        <w:t>User Plane Security Enforcement information applies only over 3GPP access. Once determined at the establishment of the PDU Session the User Plane Security Enforcement information applies for the life time of the PDU Session.</w:t>
      </w:r>
    </w:p>
    <w:p w:rsidR="00334C12" w:rsidRDefault="00334C12" w:rsidP="00334C12">
      <w:pPr>
        <w:pStyle w:val="NO"/>
      </w:pPr>
      <w:r>
        <w:t>NOTE 1:</w:t>
      </w:r>
      <w:r>
        <w:tab/>
        <w:t>Applicability of UP integrity protection of UP Security Enforcement is defined in TS 33.501 [29] and TS 38.300 [27].</w:t>
      </w:r>
    </w:p>
    <w:p w:rsidR="00334C12" w:rsidRDefault="00334C12" w:rsidP="00334C12">
      <w:r>
        <w:t>The SMF determines at PDU session establishment a User Plane Security Enforcement information for the user plane of a PDU session based on:</w:t>
      </w:r>
    </w:p>
    <w:p w:rsidR="00334C12" w:rsidRDefault="00334C12" w:rsidP="00334C12">
      <w:pPr>
        <w:pStyle w:val="B1"/>
      </w:pPr>
      <w:r>
        <w:t>-</w:t>
      </w:r>
      <w:r>
        <w:tab/>
        <w:t>subscribed User Plane Security Policy which is part of SM subscription information received from UDM; and</w:t>
      </w:r>
    </w:p>
    <w:p w:rsidR="00334C12" w:rsidRDefault="00334C12" w:rsidP="00334C12">
      <w:pPr>
        <w:pStyle w:val="B1"/>
      </w:pPr>
      <w:r>
        <w:t>-</w:t>
      </w:r>
      <w:r>
        <w:tab/>
        <w:t>User Plane Security Policy locally configured per (DNN, S-NSSAI) in the SMF that is used when the UDM does not provide User Plane Security Policy information.</w:t>
      </w:r>
    </w:p>
    <w:p w:rsidR="00334C12" w:rsidRDefault="00334C12" w:rsidP="00334C12">
      <w:pPr>
        <w:pStyle w:val="B1"/>
      </w:pPr>
      <w:r>
        <w:t>-</w:t>
      </w:r>
      <w:r>
        <w:tab/>
        <w:t xml:space="preserve">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w:t>
      </w:r>
      <w:del w:id="26" w:author="Huawei" w:date="2021-10-09T12:43:00Z">
        <w:r w:rsidDel="00334C12">
          <w:delText xml:space="preserve">NULL </w:delText>
        </w:r>
      </w:del>
      <w:ins w:id="27" w:author="Huawei" w:date="2021-10-09T12:43:00Z">
        <w:r>
          <w:t xml:space="preserve">full rate </w:t>
        </w:r>
      </w:ins>
      <w:del w:id="28" w:author="Huawei" w:date="2021-10-09T12:43:00Z">
        <w:r w:rsidDel="00334C12">
          <w:delText xml:space="preserve">at PDU Session Establishment </w:delText>
        </w:r>
      </w:del>
      <w:r>
        <w:t>as defined in TS 24.501 [47]</w:t>
      </w:r>
      <w:ins w:id="29" w:author="Huawei" w:date="2021-10-09T12:43:00Z">
        <w:r>
          <w:t xml:space="preserve"> and shall indicate i</w:t>
        </w:r>
        <w:r w:rsidRPr="00334C12">
          <w:t>ts support of integrity protection with the ng-</w:t>
        </w:r>
        <w:proofErr w:type="spellStart"/>
        <w:r w:rsidRPr="00334C12">
          <w:t>eNB</w:t>
        </w:r>
        <w:proofErr w:type="spellEnd"/>
        <w:r>
          <w:t xml:space="preserve"> to 5GC</w:t>
        </w:r>
        <w:r w:rsidRPr="00334C12">
          <w:t xml:space="preserve"> </w:t>
        </w:r>
        <w:r>
          <w:t>at PDU Session Establishment</w:t>
        </w:r>
      </w:ins>
      <w:ins w:id="30" w:author="Huawei" w:date="2021-10-19T23:53:00Z">
        <w:r w:rsidR="00233F87">
          <w:t xml:space="preserve"> </w:t>
        </w:r>
        <w:r w:rsidR="00233F87" w:rsidRPr="00233F87">
          <w:rPr>
            <w:highlight w:val="yellow"/>
            <w:rPrChange w:id="31" w:author="Huawei" w:date="2021-10-19T23:53:00Z">
              <w:rPr/>
            </w:rPrChange>
          </w:rPr>
          <w:t>(except for NB-IOT UEs and Category M UEs)</w:t>
        </w:r>
      </w:ins>
      <w:bookmarkStart w:id="32" w:name="_GoBack"/>
      <w:bookmarkEnd w:id="32"/>
      <w:r>
        <w:t>.</w:t>
      </w:r>
    </w:p>
    <w:p w:rsidR="00334C12" w:rsidRDefault="00334C12" w:rsidP="00334C12">
      <w:r>
        <w:t>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rsidR="00334C12" w:rsidRDefault="00334C12" w:rsidP="00334C12">
      <w:r>
        <w:t xml:space="preserve">Unless the UE and the MME support user plane integrity protection with EPS, the SMF+PGW-C shall reject a PDN Connection Establishment using EPS if the UP Security Enforcement Information has UP integrity protection set to </w:t>
      </w:r>
      <w:proofErr w:type="gramStart"/>
      <w:r>
        <w:t>Required</w:t>
      </w:r>
      <w:proofErr w:type="gramEnd"/>
      <w:r>
        <w:t>.</w:t>
      </w:r>
    </w:p>
    <w:p w:rsidR="00334C12" w:rsidRDefault="00334C12" w:rsidP="00334C12">
      <w:r>
        <w:t>The SMF+PGW-C shall (e.g. based on the received RAT Type) reject a PDN Connection Establishment using GERAN/UTRAN if the UP Security Enforcement Information has UP integrity protection set to Required.</w:t>
      </w:r>
    </w:p>
    <w:p w:rsidR="00334C12" w:rsidRDefault="00334C12" w:rsidP="00334C12">
      <w:pPr>
        <w:pStyle w:val="NO"/>
      </w:pPr>
      <w:r>
        <w:t>NOTE 2:</w:t>
      </w:r>
      <w:r>
        <w:tab/>
        <w:t>This assumes that the optional user plane integrity protection for GPRS specified in Release 13 has not been deployed.</w:t>
      </w:r>
    </w:p>
    <w:p w:rsidR="00334C12" w:rsidRDefault="00334C12" w:rsidP="00334C12">
      <w:r>
        <w:t>The SMF may, based on local configuration, reject the PDU Session Establishment request depending on the value of the maximum supported data rate per UE for integrity protection.</w:t>
      </w:r>
    </w:p>
    <w:p w:rsidR="00334C12" w:rsidRDefault="00334C12" w:rsidP="00334C12">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rsidR="00334C12" w:rsidRDefault="00334C12" w:rsidP="00334C12">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rsidR="00334C12" w:rsidRDefault="00334C12" w:rsidP="00334C12">
      <w:r>
        <w:t>The User Plane Security Policy provide the same level of information than User Plane Security Enforcement information.</w:t>
      </w:r>
    </w:p>
    <w:p w:rsidR="00334C12" w:rsidRDefault="00334C12" w:rsidP="00334C12">
      <w:r>
        <w:t>User Plane Security Policy from UDM takes precedence over locally configured User Plane Security Policy.</w:t>
      </w:r>
    </w:p>
    <w:p w:rsidR="00334C12" w:rsidRDefault="00334C12" w:rsidP="00334C12">
      <w:r>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w:t>
      </w:r>
      <w:proofErr w:type="gramStart"/>
      <w:r>
        <w:t>Required</w:t>
      </w:r>
      <w:proofErr w:type="gramEnd"/>
      <w:r>
        <w:t>.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rsidR="00334C12" w:rsidRDefault="00334C12" w:rsidP="00334C12">
      <w:pPr>
        <w:pStyle w:val="NO"/>
      </w:pPr>
      <w:r>
        <w:t>NOTE 5:</w:t>
      </w:r>
      <w:r>
        <w:tab/>
        <w:t>For example, the NG-RAN cannot fulfil requirements in User Plane Security Enforcement information with UP integrity protection set to "Required" when it cannot negotiate UP integrity protection with the UE.</w:t>
      </w:r>
    </w:p>
    <w:p w:rsidR="00334C12" w:rsidRDefault="00334C12" w:rsidP="00334C12">
      <w:r>
        <w:t>It is responsibility of the NG-RAN to enforce that the maximum UP integrity protection data rate delivered to the UE in downlink is not exceeding the maximum supported data rate for integrity protection.</w:t>
      </w:r>
    </w:p>
    <w:p w:rsidR="00334C12" w:rsidRDefault="00334C12" w:rsidP="00334C12">
      <w:r>
        <w:t>It is expected that generally the UP integrity protection data rate applied by the UE in uplink will not exceed the indicated maximum supported data rate, but the UE is not required to perform strict rate enforcement.</w:t>
      </w:r>
    </w:p>
    <w:p w:rsidR="00334C12" w:rsidRDefault="00334C12" w:rsidP="00334C12">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rsidR="00334C12" w:rsidRDefault="00334C12" w:rsidP="00334C12">
      <w:r>
        <w:t xml:space="preserve">If the UE or the MME does not indicate support of user plane integrity protection with EPS, PDU Sessions with UP integrity protection of the User Plane Security Enforcement information set to </w:t>
      </w:r>
      <w:proofErr w:type="gramStart"/>
      <w:r>
        <w:t>Required</w:t>
      </w:r>
      <w:proofErr w:type="gramEnd"/>
      <w:r>
        <w:t xml:space="preserve"> are not transferred to EPS as follows:</w:t>
      </w:r>
    </w:p>
    <w:p w:rsidR="00334C12" w:rsidRDefault="00334C12" w:rsidP="00334C12">
      <w:pPr>
        <w:pStyle w:val="B1"/>
      </w:pPr>
      <w:r>
        <w:t>-</w:t>
      </w:r>
      <w:r>
        <w:tab/>
        <w:t xml:space="preserve">In the case of mobility without N26, the SMF+PGW-C shall reject a PDN connectivity request in EPS with handover indication if the UP integrity protection of the User Plane Security Enforcement is set to </w:t>
      </w:r>
      <w:proofErr w:type="gramStart"/>
      <w:r>
        <w:t>Required</w:t>
      </w:r>
      <w:proofErr w:type="gramEnd"/>
      <w:r>
        <w:t>.</w:t>
      </w:r>
    </w:p>
    <w:p w:rsidR="00334C12" w:rsidRDefault="00334C12" w:rsidP="00334C12">
      <w:pPr>
        <w:pStyle w:val="NO"/>
      </w:pPr>
      <w:r>
        <w:t>NOTE 6:</w:t>
      </w:r>
      <w:r>
        <w:tab/>
        <w:t>As described in clause 5.17.2.3.3, the UE does not know before trying to move a given PDU Session to EPC, whether that PDU session can be transferred to EPC.</w:t>
      </w:r>
    </w:p>
    <w:p w:rsidR="00334C12" w:rsidRDefault="00334C12" w:rsidP="00334C12">
      <w:pPr>
        <w:pStyle w:val="B1"/>
      </w:pPr>
      <w:r>
        <w:t>-</w:t>
      </w:r>
      <w:r>
        <w:tab/>
        <w:t>In the case of idle mode and connected mode mobility with N26 to EPS, or mobility without N26, the SMF+PGW-C ensures that the PDU session is released.</w:t>
      </w:r>
    </w:p>
    <w:p w:rsidR="00334C12" w:rsidRDefault="00334C12" w:rsidP="00334C12">
      <w:r>
        <w:t xml:space="preserve">If the UE and the target MME indicate support of User Plane Integrity Protection with EPS, PDU Sessions with UP integrity protection of the User Plane Security Enforcement information set to </w:t>
      </w:r>
      <w:proofErr w:type="gramStart"/>
      <w:r>
        <w:t>Required</w:t>
      </w:r>
      <w:proofErr w:type="gramEnd"/>
      <w:r>
        <w:t xml:space="preserve"> are transferred from 5GS to EPS according to existing procedures.</w:t>
      </w:r>
    </w:p>
    <w:p w:rsidR="00334C12" w:rsidRDefault="00334C12" w:rsidP="00334C12">
      <w:r>
        <w:t>At mobility to an E-UTRAN that does not support User Plane Integrity Protection with EPS the MME shall not indicate support of User Plane Integrity Protection with EPS to the SMF+PGW-C.</w:t>
      </w:r>
    </w:p>
    <w:p w:rsidR="00334C12" w:rsidRDefault="00334C12" w:rsidP="00334C12">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rsidR="00334C12" w:rsidRDefault="00334C12" w:rsidP="00334C12">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rsidR="00334C12" w:rsidRDefault="00334C12" w:rsidP="00334C12">
      <w:r>
        <w:t>At any (e.g. idle mode) mobility from EPS to GERAN/UTRAN, the (home) SMF+PGW-C shall trigger (e.g. based on the received RAT Type) the release of the bearers of PDN Connections with UP integrity protection set to Required.</w:t>
      </w:r>
    </w:p>
    <w:p w:rsidR="00334C12" w:rsidRDefault="00334C12" w:rsidP="00334C12">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p>
    <w:p w:rsidR="00E32339" w:rsidRPr="00334C12" w:rsidRDefault="00334C12" w:rsidP="00334C12">
      <w:pPr>
        <w:rPr>
          <w:lang w:eastAsia="zh-CN"/>
        </w:rPr>
      </w:pPr>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20A" w:rsidRDefault="00A7720A">
      <w:r>
        <w:separator/>
      </w:r>
    </w:p>
  </w:endnote>
  <w:endnote w:type="continuationSeparator" w:id="0">
    <w:p w:rsidR="00A7720A" w:rsidRDefault="00A7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20A" w:rsidRDefault="00A7720A">
      <w:r>
        <w:separator/>
      </w:r>
    </w:p>
  </w:footnote>
  <w:footnote w:type="continuationSeparator" w:id="0">
    <w:p w:rsidR="00A7720A" w:rsidRDefault="00A77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7"/>
    <w:rsid w:val="00022E4A"/>
    <w:rsid w:val="00027388"/>
    <w:rsid w:val="0005071C"/>
    <w:rsid w:val="00062070"/>
    <w:rsid w:val="00076524"/>
    <w:rsid w:val="00086F9A"/>
    <w:rsid w:val="000A6394"/>
    <w:rsid w:val="000B7FED"/>
    <w:rsid w:val="000C038A"/>
    <w:rsid w:val="000C6598"/>
    <w:rsid w:val="000E268E"/>
    <w:rsid w:val="000E2AF1"/>
    <w:rsid w:val="000E31D5"/>
    <w:rsid w:val="001431FF"/>
    <w:rsid w:val="00145D43"/>
    <w:rsid w:val="00163EBC"/>
    <w:rsid w:val="001804E7"/>
    <w:rsid w:val="00192C46"/>
    <w:rsid w:val="001A08B3"/>
    <w:rsid w:val="001A7B60"/>
    <w:rsid w:val="001B52F0"/>
    <w:rsid w:val="001B7A65"/>
    <w:rsid w:val="001E005B"/>
    <w:rsid w:val="001E41F3"/>
    <w:rsid w:val="00233F87"/>
    <w:rsid w:val="0026004D"/>
    <w:rsid w:val="00263A5D"/>
    <w:rsid w:val="002640DD"/>
    <w:rsid w:val="00265753"/>
    <w:rsid w:val="00271A4B"/>
    <w:rsid w:val="00275D12"/>
    <w:rsid w:val="002831F6"/>
    <w:rsid w:val="00284FEB"/>
    <w:rsid w:val="002860C4"/>
    <w:rsid w:val="002B5741"/>
    <w:rsid w:val="0030271E"/>
    <w:rsid w:val="00305409"/>
    <w:rsid w:val="00334C12"/>
    <w:rsid w:val="00341B68"/>
    <w:rsid w:val="003609EF"/>
    <w:rsid w:val="0036231A"/>
    <w:rsid w:val="00374DD4"/>
    <w:rsid w:val="003808E9"/>
    <w:rsid w:val="00385A11"/>
    <w:rsid w:val="00386DEC"/>
    <w:rsid w:val="00392484"/>
    <w:rsid w:val="00395FE7"/>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1773A"/>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6EE"/>
    <w:rsid w:val="00775ACB"/>
    <w:rsid w:val="00792342"/>
    <w:rsid w:val="00793EC4"/>
    <w:rsid w:val="007977A8"/>
    <w:rsid w:val="007B512A"/>
    <w:rsid w:val="007C2097"/>
    <w:rsid w:val="007D5352"/>
    <w:rsid w:val="007D6A07"/>
    <w:rsid w:val="007F2012"/>
    <w:rsid w:val="007F7259"/>
    <w:rsid w:val="007F767B"/>
    <w:rsid w:val="008040A8"/>
    <w:rsid w:val="00826064"/>
    <w:rsid w:val="008279FA"/>
    <w:rsid w:val="008626E7"/>
    <w:rsid w:val="00870EE7"/>
    <w:rsid w:val="0087737C"/>
    <w:rsid w:val="00881457"/>
    <w:rsid w:val="008863B9"/>
    <w:rsid w:val="00894982"/>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0A"/>
    <w:rsid w:val="00A87BB1"/>
    <w:rsid w:val="00AA2CBC"/>
    <w:rsid w:val="00AA5DE5"/>
    <w:rsid w:val="00AC5820"/>
    <w:rsid w:val="00AD1CD8"/>
    <w:rsid w:val="00AD32D4"/>
    <w:rsid w:val="00AF1A6F"/>
    <w:rsid w:val="00B068A1"/>
    <w:rsid w:val="00B15BA9"/>
    <w:rsid w:val="00B258BB"/>
    <w:rsid w:val="00B3068D"/>
    <w:rsid w:val="00B51DB3"/>
    <w:rsid w:val="00B55111"/>
    <w:rsid w:val="00B57869"/>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7AED"/>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73B27"/>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7388"/>
    <w:rPr>
      <w:rFonts w:ascii="Times New Roman" w:hAnsi="Times New Roman"/>
      <w:lang w:val="en-GB" w:eastAsia="en-US"/>
    </w:rPr>
  </w:style>
  <w:style w:type="character" w:customStyle="1" w:styleId="B1Char">
    <w:name w:val="B1 Char"/>
    <w:link w:val="B1"/>
    <w:locked/>
    <w:rsid w:val="00027388"/>
    <w:rPr>
      <w:rFonts w:ascii="Times New Roman" w:hAnsi="Times New Roman"/>
      <w:lang w:val="en-GB" w:eastAsia="en-US"/>
    </w:rPr>
  </w:style>
  <w:style w:type="character" w:customStyle="1" w:styleId="B2Char">
    <w:name w:val="B2 Char"/>
    <w:link w:val="B2"/>
    <w:locked/>
    <w:rsid w:val="00027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0532">
      <w:bodyDiv w:val="1"/>
      <w:marLeft w:val="0"/>
      <w:marRight w:val="0"/>
      <w:marTop w:val="0"/>
      <w:marBottom w:val="0"/>
      <w:divBdr>
        <w:top w:val="none" w:sz="0" w:space="0" w:color="auto"/>
        <w:left w:val="none" w:sz="0" w:space="0" w:color="auto"/>
        <w:bottom w:val="none" w:sz="0" w:space="0" w:color="auto"/>
        <w:right w:val="none" w:sz="0" w:space="0" w:color="auto"/>
      </w:divBdr>
    </w:div>
    <w:div w:id="943073824">
      <w:bodyDiv w:val="1"/>
      <w:marLeft w:val="0"/>
      <w:marRight w:val="0"/>
      <w:marTop w:val="0"/>
      <w:marBottom w:val="0"/>
      <w:divBdr>
        <w:top w:val="none" w:sz="0" w:space="0" w:color="auto"/>
        <w:left w:val="none" w:sz="0" w:space="0" w:color="auto"/>
        <w:bottom w:val="none" w:sz="0" w:space="0" w:color="auto"/>
        <w:right w:val="none" w:sz="0" w:space="0" w:color="auto"/>
      </w:divBdr>
    </w:div>
    <w:div w:id="1264344816">
      <w:bodyDiv w:val="1"/>
      <w:marLeft w:val="0"/>
      <w:marRight w:val="0"/>
      <w:marTop w:val="0"/>
      <w:marBottom w:val="0"/>
      <w:divBdr>
        <w:top w:val="none" w:sz="0" w:space="0" w:color="auto"/>
        <w:left w:val="none" w:sz="0" w:space="0" w:color="auto"/>
        <w:bottom w:val="none" w:sz="0" w:space="0" w:color="auto"/>
        <w:right w:val="none" w:sz="0" w:space="0" w:color="auto"/>
      </w:divBdr>
    </w:div>
    <w:div w:id="144391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4DA7-2DFF-4F0F-83E1-D314FA4A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1998</Words>
  <Characters>11389</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October 18 – 22, 2021	(revision of S2-210xxxx)</vt:lpstr>
      <vt:lpstr>* * * * First change * * * *</vt:lpstr>
      <vt:lpstr>        5.4.4b	UE 5GSM Core Network Capability handling</vt:lpstr>
      <vt:lpstr>* * * * Second change * * * *</vt:lpstr>
      <vt:lpstr>        5.10.3	PDU Session User Plane Security</vt:lpstr>
      <vt:lpstr>* * * * End of changes * * * *</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2021-10-19T15:54:00Z</dcterms:created>
  <dcterms:modified xsi:type="dcterms:W3CDTF">2021-10-19T15:54:00Z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(3)BmiJawG4HoSRoOqOoemoWebgXC/xy518lC+HjAjk0HvB8sArRqBd03y5KgbdJ3Po/K6ND+J1
G5Z8mYDTQs4QA3Lg56VDQsw63KU8lEEXKUGyenhkA3s6m7RZG/MM2LUKFsyZK4kgKnftmKm3
0DQZ5RGVZkIcUuNbcnSWt3Q7dKnIOHQyqDAvK4boXIv4QPA93AK5fdyXxm8lM9RIAqXl6477
tSDe/cSho0Ni7qgkke</vt:lpwstr>
  </property>
  <property fmtid="{D5CDD505-2E9C-101B-9397-08002B2CF9AE}" pid="26" name="_2015_ms_pID_7253431">
    <vt:lpwstr>QqUK8gRfmyIO6El1EPBjIryt/v7rMIChmE64cKCRoLoc/JgEuxgaNh
YbQvdIJS3Si7tIU/Yj7fywBG2DxsmxhUm5oyIzxtc6kagN3RMh1y1LCfxoCAXhdqhxviRtI+
1apEP7fOfDLVwPGtfU5vXL4HK1vqcxZoognvwsZEROK/tk4sxbDgvxafiHTfb8Xw1CCpOZBt
5cLnGktE35zlqwFwmWdTAGbqgY8Jd9AK/s4y</vt:lpwstr>
  </property>
  <property fmtid="{D5CDD505-2E9C-101B-9397-08002B2CF9AE}" pid="27" name="_2015_ms_pID_7253432">
    <vt:lpwstr>lcNioRf0kTNlbbYb+b2qJE4=</vt:lpwstr>
  </property>
</Properties>
</file>